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400"/>
        <w:jc w:val="center"/>
      </w:pPr>
      <w:r>
        <w:rPr>
          <w:rFonts w:ascii="Aptos Display" w:hAnsi="Aptos Display"/>
          <w:b/>
          <w:color w:val="315B3A"/>
          <w:sz w:val="34"/>
        </w:rPr>
        <w:t>AGROBIZNIS AKADEMIJA</w:t>
      </w:r>
    </w:p>
    <w:p>
      <w:pPr>
        <w:spacing w:before="320"/>
        <w:jc w:val="center"/>
      </w:pPr>
      <w:r>
        <w:rPr>
          <w:b/>
          <w:color w:val="C79B32"/>
          <w:sz w:val="22"/>
        </w:rPr>
        <w:t>PRAKTIČNI VODIČ</w:t>
      </w:r>
    </w:p>
    <w:p>
      <w:pPr>
        <w:spacing w:before="300" w:after="240"/>
        <w:jc w:val="center"/>
      </w:pPr>
      <w:r>
        <w:rPr>
          <w:rFonts w:ascii="Aptos Display" w:hAnsi="Aptos Display"/>
          <w:b/>
          <w:color w:val="20362A"/>
          <w:sz w:val="56"/>
        </w:rPr>
        <w:t>Vodič za istraživanje tržišta poljoprivrednih proizvoda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8050"/>
      </w:tblGrid>
      <w:tr>
        <w:tc>
          <w:tcPr>
            <w:tcW w:type="dxa" w:w="8050"/>
            <w:shd w:fill="315B3A"/>
            <w:tcBorders>
              <w:top w:val="nil"/>
              <w:left w:val="nil"/>
              <w:bottom w:val="nil"/>
              <w:right w:val="nil"/>
            </w:tcBorders>
          </w:tcPr>
          <w:p>
            <w:r/>
          </w:p>
        </w:tc>
      </w:tr>
    </w:tbl>
    <w:p>
      <w:pPr>
        <w:spacing w:before="280"/>
        <w:jc w:val="center"/>
      </w:pPr>
      <w:r>
        <w:rPr>
          <w:color w:val="5E6761"/>
          <w:sz w:val="24"/>
        </w:rPr>
        <w:t>Kako provjeriti kupce, konkurenciju, cijene i prodajne kanale prije većeg ulaganja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8617"/>
            <w:shd w:fill="F4F0E5"/>
            <w:tcMar>
              <w:top w:w="130" w:type="dxa"/>
              <w:start w:w="160" w:type="dxa"/>
              <w:bottom w:w="130" w:type="dxa"/>
              <w:end w:w="160" w:type="dxa"/>
            </w:tcMar>
            <w:tcBorders>
              <w:top w:sz="4" w:val="single" w:color="FFFFFF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b/>
                <w:color w:val="20362A"/>
                <w:sz w:val="24"/>
              </w:rPr>
              <w:t>MOJ BIZNIS NA SELU</w:t>
            </w:r>
          </w:p>
        </w:tc>
      </w:tr>
      <w:tr>
        <w:tc>
          <w:tcPr>
            <w:tcW w:type="dxa" w:w="8617"/>
            <w:shd w:fill="F4F0E5"/>
            <w:tcMar>
              <w:top w:w="130" w:type="dxa"/>
              <w:start w:w="160" w:type="dxa"/>
              <w:bottom w:w="130" w:type="dxa"/>
              <w:end w:w="160" w:type="dxa"/>
            </w:tcMar>
            <w:tcBorders>
              <w:top w:sz="4" w:val="single" w:color="FFFFFF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color w:val="20362A"/>
                <w:sz w:val="20"/>
              </w:rPr>
              <w:t>Praktični resurs za mlade, početnike i mala poljoprivredna gazdinstva</w:t>
            </w:r>
          </w:p>
        </w:tc>
      </w:tr>
      <w:tr>
        <w:tc>
          <w:tcPr>
            <w:tcW w:type="dxa" w:w="8617"/>
            <w:shd w:fill="F4F0E5"/>
            <w:tcMar>
              <w:top w:w="130" w:type="dxa"/>
              <w:start w:w="160" w:type="dxa"/>
              <w:bottom w:w="130" w:type="dxa"/>
              <w:end w:w="160" w:type="dxa"/>
            </w:tcMar>
            <w:tcBorders>
              <w:top w:sz="4" w:val="single" w:color="FFFFFF"/>
              <w:left w:val="nil"/>
              <w:bottom w:sz="4" w:val="single" w:color="FFFFFF"/>
              <w:right w:val="nil"/>
            </w:tcBorders>
          </w:tcPr>
          <w:p>
            <w:pPr>
              <w:jc w:val="center"/>
            </w:pPr>
            <w:r>
              <w:rPr>
                <w:color w:val="5E6761"/>
                <w:sz w:val="20"/>
              </w:rPr>
              <w:t>Izdanje 2026</w:t>
            </w:r>
          </w:p>
        </w:tc>
      </w:tr>
    </w:tbl>
    <w:p>
      <w:r>
        <w:br w:type="page"/>
      </w:r>
    </w:p>
    <w:p>
      <w:pPr>
        <w:pStyle w:val="Heading1"/>
      </w:pPr>
      <w:r>
        <w:t>Kako koristiti ovaj dokument</w:t>
      </w:r>
    </w:p>
    <w:p>
      <w:r>
        <w:t>Istraživanje tržišta nije akademska vježba nego proces smanjenja neizvjesnosti. Cilj nije prikupiti mnogo podataka, nego pronaći dovoljno kvalitetnih dokaza da donesete odluku: kome prodavati, šta ponuditi, po kojoj cijeni, kojim kanalom i u kojem periodu.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9978"/>
      </w:tblGrid>
      <w:tr>
        <w:tc>
          <w:tcPr>
            <w:tcW w:type="dxa" w:w="9978"/>
            <w:shd w:fill="EAF2EB"/>
            <w:tcMar>
              <w:top w:w="150" w:type="dxa"/>
              <w:start w:w="170" w:type="dxa"/>
              <w:bottom w:w="150" w:type="dxa"/>
              <w:end w:w="170" w:type="dxa"/>
            </w:tcMar>
            <w:tcBorders>
              <w:top w:sz="8" w:val="single" w:color="6B8E5A"/>
              <w:left w:sz="8" w:val="single" w:color="6B8E5A"/>
              <w:bottom w:sz="8" w:val="single" w:color="6B8E5A"/>
              <w:right w:sz="8" w:val="single" w:color="6B8E5A"/>
            </w:tcBorders>
          </w:tcPr>
          <w:p>
            <w:r>
              <w:rPr>
                <w:b/>
                <w:color w:val="315B3A"/>
                <w:sz w:val="22"/>
              </w:rPr>
              <w:t>Pravilo za početnike</w:t>
            </w:r>
          </w:p>
          <w:p>
            <w:pPr>
              <w:spacing w:after="0"/>
            </w:pPr>
            <w:r>
              <w:t>Ne pitajte ljude samo da li im se proizvod sviđa. Provjerite šta sada kupuju, koliko često, po kojoj cijeni, od koga i šta bi ih navelo da promijene dobavljača.</w:t>
            </w:r>
          </w:p>
        </w:tc>
      </w:tr>
    </w:tbl>
    <w:p>
      <w:pPr>
        <w:pStyle w:val="Heading1"/>
      </w:pPr>
      <w:r>
        <w:t>1. Počnite od odluke koju trebate donijeti</w:t>
      </w:r>
    </w:p>
    <w:p>
      <w:r>
        <w:t>Prije ankete ili razgovora napišite koju odluku treba podržati istraživanje. Dobra istraživačka pitanja su konkretna i povezana sa ulaganjem.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226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Poslovna odluka</w:t>
            </w:r>
          </w:p>
        </w:tc>
        <w:tc>
          <w:tcPr>
            <w:tcW w:type="dxa" w:w="408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Istraživačko pitanje</w:t>
            </w:r>
          </w:p>
        </w:tc>
        <w:tc>
          <w:tcPr>
            <w:tcW w:type="dxa" w:w="3175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Dokaz koji tražimo</w:t>
            </w:r>
          </w:p>
        </w:tc>
      </w:tr>
      <w:tr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Izbor proizvoda</w:t>
            </w:r>
          </w:p>
        </w:tc>
        <w:tc>
          <w:tcPr>
            <w:tcW w:type="dxa" w:w="408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Da li kupci više cijene svjež proizvod, prerađevinu ili poklon paket?</w:t>
            </w:r>
          </w:p>
        </w:tc>
        <w:tc>
          <w:tcPr>
            <w:tcW w:type="dxa" w:w="317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stvarne kupovine, testne narudžbe i reakcija na uzorak</w:t>
            </w:r>
          </w:p>
        </w:tc>
      </w:tr>
      <w:tr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Cijena</w:t>
            </w:r>
          </w:p>
        </w:tc>
        <w:tc>
          <w:tcPr>
            <w:tcW w:type="dxa" w:w="408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Koji raspon cijene kupci prihvataju u različitim kanalima?</w:t>
            </w:r>
          </w:p>
        </w:tc>
        <w:tc>
          <w:tcPr>
            <w:tcW w:type="dxa" w:w="317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poređenje cijena, probna prodaja i razgovor sa kupcima</w:t>
            </w:r>
          </w:p>
        </w:tc>
      </w:tr>
      <w:tr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Prodajni kanal</w:t>
            </w:r>
          </w:p>
        </w:tc>
        <w:tc>
          <w:tcPr>
            <w:tcW w:type="dxa" w:w="408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Da li je bolja pijaca, kućna dostava, trgovina ili online prodaja?</w:t>
            </w:r>
          </w:p>
        </w:tc>
        <w:tc>
          <w:tcPr>
            <w:tcW w:type="dxa" w:w="3175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trošak kanala, obim narudžbe, rok naplate i povrat robe</w:t>
            </w:r>
          </w:p>
        </w:tc>
      </w:tr>
      <w:tr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Kapacitet</w:t>
            </w:r>
          </w:p>
        </w:tc>
        <w:tc>
          <w:tcPr>
            <w:tcW w:type="dxa" w:w="408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Koliku količinu možemo realno prodati u sezoni i van sezone?</w:t>
            </w:r>
          </w:p>
        </w:tc>
        <w:tc>
          <w:tcPr>
            <w:tcW w:type="dxa" w:w="3175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ponovljene narudžbe, dogovorene količine i podaci o sezonalnosti</w:t>
            </w:r>
          </w:p>
        </w:tc>
      </w:tr>
    </w:tbl>
    <w:p>
      <w:pPr>
        <w:spacing w:after="0"/>
      </w:pPr>
    </w:p>
    <w:p>
      <w:pPr>
        <w:pStyle w:val="Heading1"/>
      </w:pPr>
      <w:r>
        <w:t>2. Definišite ciljnu grupu bez preširokih opisa</w:t>
      </w:r>
    </w:p>
    <w:p>
      <w:r>
        <w:t>Opis „svi koji žele zdravu hranu“ nije dovoljan. Korisnije je definisati kupca prema situaciji kupovine, potrebama, budžetu, lokaciji i načinu odlučivanja.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204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Element segmenta</w:t>
            </w:r>
          </w:p>
        </w:tc>
        <w:tc>
          <w:tcPr>
            <w:tcW w:type="dxa" w:w="357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Primjer za domaći med</w:t>
            </w:r>
          </w:p>
        </w:tc>
        <w:tc>
          <w:tcPr>
            <w:tcW w:type="dxa" w:w="357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Primjer za povrće iz plastenika</w:t>
            </w:r>
          </w:p>
        </w:tc>
      </w:tr>
      <w:tr>
        <w:tc>
          <w:tcPr>
            <w:tcW w:type="dxa" w:w="204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 kupuje</w:t>
            </w:r>
          </w:p>
        </w:tc>
        <w:tc>
          <w:tcPr>
            <w:tcW w:type="dxa" w:w="357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roditelji male djece, poklon kupci, ugostitelji</w:t>
            </w:r>
          </w:p>
        </w:tc>
        <w:tc>
          <w:tcPr>
            <w:tcW w:type="dxa" w:w="357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domaćinstva, restorani, male trgovine</w:t>
            </w:r>
          </w:p>
        </w:tc>
      </w:tr>
      <w:tr>
        <w:tc>
          <w:tcPr>
            <w:tcW w:type="dxa" w:w="204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Zašto kupuje</w:t>
            </w:r>
          </w:p>
        </w:tc>
        <w:tc>
          <w:tcPr>
            <w:tcW w:type="dxa" w:w="357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povjerenje u porijeklo, ukus, poklon</w:t>
            </w:r>
          </w:p>
        </w:tc>
        <w:tc>
          <w:tcPr>
            <w:tcW w:type="dxa" w:w="357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svježina, redovna isporuka, lokalno porijeklo</w:t>
            </w:r>
          </w:p>
        </w:tc>
      </w:tr>
      <w:tr>
        <w:tc>
          <w:tcPr>
            <w:tcW w:type="dxa" w:w="204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Kada kupuje</w:t>
            </w:r>
          </w:p>
        </w:tc>
        <w:tc>
          <w:tcPr>
            <w:tcW w:type="dxa" w:w="357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tokom cijele godine, više u sezoni poklona</w:t>
            </w:r>
          </w:p>
        </w:tc>
        <w:tc>
          <w:tcPr>
            <w:tcW w:type="dxa" w:w="357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sedmično, uz izraženu sezonalnost</w:t>
            </w:r>
          </w:p>
        </w:tc>
      </w:tr>
      <w:tr>
        <w:tc>
          <w:tcPr>
            <w:tcW w:type="dxa" w:w="204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Koliko kupuje</w:t>
            </w:r>
          </w:p>
        </w:tc>
        <w:tc>
          <w:tcPr>
            <w:tcW w:type="dxa" w:w="357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1–3 tegle ili veća HoReCa pakovanja</w:t>
            </w:r>
          </w:p>
        </w:tc>
        <w:tc>
          <w:tcPr>
            <w:tcW w:type="dxa" w:w="357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 kilogramu, gajbi ili dogovorenoj sedmičnoj količini</w:t>
            </w:r>
          </w:p>
        </w:tc>
      </w:tr>
      <w:tr>
        <w:tc>
          <w:tcPr>
            <w:tcW w:type="dxa" w:w="204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Kako bira</w:t>
            </w:r>
          </w:p>
        </w:tc>
        <w:tc>
          <w:tcPr>
            <w:tcW w:type="dxa" w:w="357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preporuka, deklaracija, izgled, degustacija</w:t>
            </w:r>
          </w:p>
        </w:tc>
        <w:tc>
          <w:tcPr>
            <w:tcW w:type="dxa" w:w="357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cijena, kvalitet, pouzdanost i rok isporuke</w:t>
            </w:r>
          </w:p>
        </w:tc>
      </w:tr>
    </w:tbl>
    <w:p>
      <w:pPr>
        <w:spacing w:after="0"/>
      </w:pPr>
    </w:p>
    <w:p>
      <w:pPr>
        <w:pStyle w:val="Heading1"/>
      </w:pPr>
      <w:r>
        <w:t>3. Kombinujte sekundarne i primarne izvore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94"/>
        <w:gridCol w:w="2494"/>
        <w:gridCol w:w="2494"/>
        <w:gridCol w:w="2494"/>
      </w:tblGrid>
      <w:tr>
        <w:trPr>
          <w:tblHeader w:val="true"/>
        </w:trPr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Vrsta istraživanja</w:t>
            </w:r>
          </w:p>
        </w:tc>
        <w:tc>
          <w:tcPr>
            <w:tcW w:type="dxa" w:w="3969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Šta obuhvata</w:t>
            </w:r>
          </w:p>
        </w:tc>
        <w:tc>
          <w:tcPr>
            <w:tcW w:type="dxa" w:w="226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Prednost</w:t>
            </w:r>
          </w:p>
        </w:tc>
        <w:tc>
          <w:tcPr>
            <w:tcW w:type="dxa" w:w="226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Ograničenje</w:t>
            </w:r>
          </w:p>
        </w:tc>
      </w:tr>
      <w:tr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Sekundarno</w:t>
            </w:r>
          </w:p>
        </w:tc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cjenovnici, web-stranice, javni statistički podaci, katalozi, sajmovi, objave trgovina</w:t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brzo i jeftino daje širu sliku</w:t>
            </w:r>
          </w:p>
        </w:tc>
        <w:tc>
          <w:tcPr>
            <w:tcW w:type="dxa" w:w="226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podaci mogu biti stari ili nedovoljno specifični</w:t>
            </w:r>
          </w:p>
        </w:tc>
      </w:tr>
      <w:tr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Primarno</w:t>
            </w:r>
          </w:p>
        </w:tc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intervjui, ankete, posmatranje, testna prodaja, razgovori sa trgovcima i ugostiteljima</w:t>
            </w:r>
          </w:p>
        </w:tc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odgovara na vaše konkretno pitanje</w:t>
            </w:r>
          </w:p>
        </w:tc>
        <w:tc>
          <w:tcPr>
            <w:tcW w:type="dxa" w:w="226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traži vrijeme i kvalitetno postavljena pitanja</w:t>
            </w:r>
          </w:p>
        </w:tc>
      </w:tr>
    </w:tbl>
    <w:p>
      <w:pPr>
        <w:spacing w:after="0"/>
      </w:pPr>
    </w:p>
    <w:p>
      <w:pPr>
        <w:pStyle w:val="RuralisNote"/>
      </w:pPr>
      <w:r>
        <w:t>Kada koristite tuđe podatke, zabilježite izvor i datum pristupa. Za odluke koje nose veće ulaganje oslonite se na više različitih izvora.</w:t>
      </w:r>
    </w:p>
    <w:p>
      <w:pPr>
        <w:pStyle w:val="Heading1"/>
      </w:pPr>
      <w:r>
        <w:t>4. Brza analiza konkurencije</w:t>
      </w:r>
    </w:p>
    <w:p>
      <w:r>
        <w:t>Konkurencija nije samo proizvođač istog proizvoda. Zamjenski proizvodi, uvozna roba, samostalna proizvodnja kupca ili drugačiji način rješavanja potrebe takođe utiču na prodaju.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663"/>
        <w:gridCol w:w="1663"/>
        <w:gridCol w:w="1663"/>
        <w:gridCol w:w="1663"/>
        <w:gridCol w:w="1663"/>
        <w:gridCol w:w="1663"/>
      </w:tblGrid>
      <w:tr>
        <w:trPr>
          <w:tblHeader w:val="true"/>
        </w:trPr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Konkurent / zamjena</w:t>
            </w:r>
          </w:p>
        </w:tc>
        <w:tc>
          <w:tcPr>
            <w:tcW w:type="dxa" w:w="198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Proizvod i pakovanje</w:t>
            </w:r>
          </w:p>
        </w:tc>
        <w:tc>
          <w:tcPr>
            <w:tcW w:type="dxa" w:w="119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Cijena</w:t>
            </w:r>
          </w:p>
        </w:tc>
        <w:tc>
          <w:tcPr>
            <w:tcW w:type="dxa" w:w="181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Kanal</w:t>
            </w:r>
          </w:p>
        </w:tc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Snaga</w:t>
            </w:r>
          </w:p>
        </w:tc>
        <w:tc>
          <w:tcPr>
            <w:tcW w:type="dxa" w:w="198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Slabost / prilika</w:t>
            </w:r>
          </w:p>
        </w:tc>
      </w:tr>
      <w:tr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Lokalni proizvođač A</w:t>
            </w:r>
          </w:p>
        </w:tc>
        <w:tc>
          <w:tcPr>
            <w:tcW w:type="dxa" w:w="198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sok 0,75 l</w:t>
            </w:r>
          </w:p>
        </w:tc>
        <w:tc>
          <w:tcPr>
            <w:tcW w:type="dxa" w:w="119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6,50 KM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pijaca i društvene mreže</w:t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poznat kupcima</w:t>
            </w:r>
          </w:p>
        </w:tc>
        <w:tc>
          <w:tcPr>
            <w:tcW w:type="dxa" w:w="198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neredovna dostupnost</w:t>
            </w:r>
          </w:p>
        </w:tc>
      </w:tr>
      <w:tr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Trgovačka marka</w:t>
            </w:r>
          </w:p>
        </w:tc>
        <w:tc>
          <w:tcPr>
            <w:tcW w:type="dxa" w:w="198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sok 1 l</w:t>
            </w:r>
          </w:p>
        </w:tc>
        <w:tc>
          <w:tcPr>
            <w:tcW w:type="dxa" w:w="119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3,80 KM</w:t>
            </w:r>
          </w:p>
        </w:tc>
        <w:tc>
          <w:tcPr>
            <w:tcW w:type="dxa" w:w="181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supermarket</w:t>
            </w:r>
          </w:p>
        </w:tc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niska cijena i dostupnost</w:t>
            </w:r>
          </w:p>
        </w:tc>
        <w:tc>
          <w:tcPr>
            <w:tcW w:type="dxa" w:w="198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manje povjerenje u lokalno porijeklo</w:t>
            </w:r>
          </w:p>
        </w:tc>
      </w:tr>
      <w:tr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Sok napravljen kod kuće</w:t>
            </w:r>
          </w:p>
        </w:tc>
        <w:tc>
          <w:tcPr>
            <w:tcW w:type="dxa" w:w="198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bez standardnog pakovanja</w:t>
            </w:r>
          </w:p>
        </w:tc>
        <w:tc>
          <w:tcPr>
            <w:tcW w:type="dxa" w:w="119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nije direktno uporedivo</w:t>
            </w:r>
          </w:p>
        </w:tc>
        <w:tc>
          <w:tcPr>
            <w:tcW w:type="dxa" w:w="181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vlastita proizvodnja</w:t>
            </w:r>
          </w:p>
        </w:tc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kontrola recepture</w:t>
            </w:r>
          </w:p>
        </w:tc>
        <w:tc>
          <w:tcPr>
            <w:tcW w:type="dxa" w:w="198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zahtijeva vrijeme i opremu</w:t>
            </w:r>
          </w:p>
        </w:tc>
      </w:tr>
    </w:tbl>
    <w:p>
      <w:pPr>
        <w:spacing w:after="0"/>
      </w:pPr>
    </w:p>
    <w:p>
      <w:pPr>
        <w:pStyle w:val="Heading1"/>
      </w:pPr>
      <w:r>
        <w:t>5. Razgovor sa potencijalnim kupcem</w:t>
      </w:r>
    </w:p>
    <w:p>
      <w:r>
        <w:t>Polustrukturirani intervju od 15–20 minuta često daje više vrijednosti od duge opšte ankete. Razgovarajte sa ljudima koji zaista kupuju ili odlučuju o nabavci.</w:t>
      </w:r>
    </w:p>
    <w:p>
      <w:pPr>
        <w:pStyle w:val="ListNumber"/>
        <w:spacing w:after="60"/>
      </w:pPr>
      <w:r>
        <w:t>Kada ste posljednji put kupili ovu vrstu proizvoda?</w:t>
      </w:r>
    </w:p>
    <w:p>
      <w:pPr>
        <w:pStyle w:val="ListNumber"/>
        <w:spacing w:after="60"/>
      </w:pPr>
      <w:r>
        <w:t>Gdje ste kupili i zašto baš tamo?</w:t>
      </w:r>
    </w:p>
    <w:p>
      <w:pPr>
        <w:pStyle w:val="ListNumber"/>
        <w:spacing w:after="60"/>
      </w:pPr>
      <w:r>
        <w:t>Koju količinu kupujete i koliko često?</w:t>
      </w:r>
    </w:p>
    <w:p>
      <w:pPr>
        <w:pStyle w:val="ListNumber"/>
        <w:spacing w:after="60"/>
      </w:pPr>
      <w:r>
        <w:t>Šta vam je najvažnije: cijena, ukus, porijeklo, pakovanje, dostupnost ili nešto drugo?</w:t>
      </w:r>
    </w:p>
    <w:p>
      <w:pPr>
        <w:pStyle w:val="ListNumber"/>
        <w:spacing w:after="60"/>
      </w:pPr>
      <w:r>
        <w:t>Šta vas je posljednji put razočaralo kod sličnog proizvoda?</w:t>
      </w:r>
    </w:p>
    <w:p>
      <w:pPr>
        <w:pStyle w:val="ListNumber"/>
        <w:spacing w:after="60"/>
      </w:pPr>
      <w:r>
        <w:t>Koji raspon cijene smatrate prihvatljivim za konkretno pakovanje?</w:t>
      </w:r>
    </w:p>
    <w:p>
      <w:pPr>
        <w:pStyle w:val="ListNumber"/>
        <w:spacing w:after="60"/>
      </w:pPr>
      <w:r>
        <w:t>Kako želite naručiti, platiti i preuzeti proizvod?</w:t>
      </w:r>
    </w:p>
    <w:p>
      <w:pPr>
        <w:pStyle w:val="ListNumber"/>
        <w:spacing w:after="60"/>
      </w:pPr>
      <w:r>
        <w:t>Šta bi vas navelo da proizvod kupite ponovo ili preporučite drugima?</w:t>
      </w:r>
    </w:p>
    <w:p>
      <w:pPr>
        <w:pStyle w:val="RuralisNote"/>
      </w:pPr>
      <w:r>
        <w:t>Ne sugerišite odgovor i ne branite svoju ideju. Zapišite stvarne riječi kupca, posebno probleme, prigovore i kriterije kupovine.</w:t>
      </w:r>
    </w:p>
    <w:p>
      <w:pPr>
        <w:pStyle w:val="Heading1"/>
      </w:pPr>
      <w:r>
        <w:t>6. Posmatranje prodajnog mjesta</w:t>
      </w:r>
    </w:p>
    <w:p>
      <w:r>
        <w:t>Posmatranje pomaže da razlikujete ono što ljudi kažu od onoga što zaista rade. Posjetite pijacu, specijalizovanu trgovinu, supermarket ili ugostiteljski objekat u različitim terminima.</w:t>
      </w:r>
    </w:p>
    <w:p>
      <w:pPr>
        <w:pStyle w:val="ListBullet"/>
        <w:spacing w:after="40"/>
      </w:pPr>
      <w:r>
        <w:t>broj i tip kupaca u različitim periodima dana</w:t>
      </w:r>
    </w:p>
    <w:p>
      <w:pPr>
        <w:pStyle w:val="ListBullet"/>
        <w:spacing w:after="40"/>
      </w:pPr>
      <w:r>
        <w:t>najvidljiviji proizvodi i način izlaganja</w:t>
      </w:r>
    </w:p>
    <w:p>
      <w:pPr>
        <w:pStyle w:val="ListBullet"/>
        <w:spacing w:after="40"/>
      </w:pPr>
      <w:r>
        <w:t>raspon cijena i promotivne akcije</w:t>
      </w:r>
    </w:p>
    <w:p>
      <w:pPr>
        <w:pStyle w:val="ListBullet"/>
        <w:spacing w:after="40"/>
      </w:pPr>
      <w:r>
        <w:t>veličine pakovanja koje se najčešće uzimaju</w:t>
      </w:r>
    </w:p>
    <w:p>
      <w:pPr>
        <w:pStyle w:val="ListBullet"/>
        <w:spacing w:after="40"/>
      </w:pPr>
      <w:r>
        <w:t>pitanja koja kupci postavljaju prodavaču</w:t>
      </w:r>
    </w:p>
    <w:p>
      <w:pPr>
        <w:pStyle w:val="ListBullet"/>
        <w:spacing w:after="40"/>
      </w:pPr>
      <w:r>
        <w:t>proizvodi koji ostaju neprodani ili se brzo dopunjavaju</w:t>
      </w:r>
    </w:p>
    <w:p>
      <w:pPr>
        <w:pStyle w:val="Heading1"/>
      </w:pPr>
      <w:r>
        <w:t>7. Testna prodaja prije većeg ulaganja</w:t>
      </w:r>
    </w:p>
    <w:p>
      <w:r>
        <w:t>Najbolji dokaz interesa je stvarna kupovina. Napravite malu seriju ili ograničenu ponudu, uz poštovanje relevantnih pravila za proizvodnju, deklarisanje i prodaju.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170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Element testa</w:t>
            </w:r>
          </w:p>
        </w:tc>
        <w:tc>
          <w:tcPr>
            <w:tcW w:type="dxa" w:w="3969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Primjer</w:t>
            </w:r>
          </w:p>
        </w:tc>
        <w:tc>
          <w:tcPr>
            <w:tcW w:type="dxa" w:w="340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Šta mjeriti</w:t>
            </w:r>
          </w:p>
        </w:tc>
      </w:tr>
      <w:tr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Ponuda</w:t>
            </w:r>
          </w:p>
        </w:tc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30 poklon paketa meda i čaja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broj pregleda, upita, narudžbi i ponovljenih kupovina</w:t>
            </w:r>
          </w:p>
        </w:tc>
      </w:tr>
      <w:tr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Cijena</w:t>
            </w:r>
          </w:p>
        </w:tc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dvije realne cijene u različitim kanalima</w:t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stopa kupovine, prigovori i ostvarena marža</w:t>
            </w:r>
          </w:p>
        </w:tc>
      </w:tr>
      <w:tr>
        <w:tc>
          <w:tcPr>
            <w:tcW w:type="dxa" w:w="170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Kanal</w:t>
            </w:r>
          </w:p>
        </w:tc>
        <w:tc>
          <w:tcPr>
            <w:tcW w:type="dxa" w:w="39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pijaca naspram online narudžbe</w:t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trošak dolaska do kupca, vrijeme i vrijednost narudžbe</w:t>
            </w:r>
          </w:p>
        </w:tc>
      </w:tr>
      <w:tr>
        <w:tc>
          <w:tcPr>
            <w:tcW w:type="dxa" w:w="170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Pakovanje</w:t>
            </w:r>
          </w:p>
        </w:tc>
        <w:tc>
          <w:tcPr>
            <w:tcW w:type="dxa" w:w="39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standardno i poklon pakovanje</w:t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ko bira koju opciju i za koju priliku</w:t>
            </w:r>
          </w:p>
        </w:tc>
      </w:tr>
    </w:tbl>
    <w:p>
      <w:pPr>
        <w:spacing w:after="0"/>
      </w:pPr>
    </w:p>
    <w:p>
      <w:pPr>
        <w:pStyle w:val="Heading1"/>
      </w:pPr>
      <w:r>
        <w:t>8. Procjena tržišnog potencijala</w:t>
      </w:r>
    </w:p>
    <w:p>
      <w:r>
        <w:t>Za mali agrobiznis nije potrebno dokazivati veličinu cjelokupnog tržišta ako možete realistično procijeniti broj dostupnih kupaca i prosječnu vrijednost kupovine u svom dosegu.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198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Korak</w:t>
            </w:r>
          </w:p>
        </w:tc>
        <w:tc>
          <w:tcPr>
            <w:tcW w:type="dxa" w:w="4139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Primjer procjene</w:t>
            </w:r>
          </w:p>
        </w:tc>
        <w:tc>
          <w:tcPr>
            <w:tcW w:type="dxa" w:w="294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Napomena</w:t>
            </w:r>
          </w:p>
        </w:tc>
      </w:tr>
      <w:tr>
        <w:tc>
          <w:tcPr>
            <w:tcW w:type="dxa" w:w="198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Dostupni kupci</w:t>
            </w:r>
          </w:p>
        </w:tc>
        <w:tc>
          <w:tcPr>
            <w:tcW w:type="dxa" w:w="413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250 domaćinstava u dosegu dostave</w:t>
            </w:r>
          </w:p>
        </w:tc>
        <w:tc>
          <w:tcPr>
            <w:tcW w:type="dxa" w:w="294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ne računati ljude do kojih nemate realan kanal</w:t>
            </w:r>
          </w:p>
        </w:tc>
      </w:tr>
      <w:tr>
        <w:tc>
          <w:tcPr>
            <w:tcW w:type="dxa" w:w="198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Stopa kupovine</w:t>
            </w:r>
          </w:p>
        </w:tc>
        <w:tc>
          <w:tcPr>
            <w:tcW w:type="dxa" w:w="413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20% kupi barem jednom mjesečno</w:t>
            </w:r>
          </w:p>
        </w:tc>
        <w:tc>
          <w:tcPr>
            <w:tcW w:type="dxa" w:w="294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zasnovati na testu ili sličnim podacima</w:t>
            </w:r>
          </w:p>
        </w:tc>
      </w:tr>
      <w:tr>
        <w:tc>
          <w:tcPr>
            <w:tcW w:type="dxa" w:w="198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Prosječna narudžba</w:t>
            </w:r>
          </w:p>
        </w:tc>
        <w:tc>
          <w:tcPr>
            <w:tcW w:type="dxa" w:w="413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24 KM</w:t>
            </w:r>
          </w:p>
        </w:tc>
        <w:tc>
          <w:tcPr>
            <w:tcW w:type="dxa" w:w="294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računati realnu kombinaciju proizvoda</w:t>
            </w:r>
          </w:p>
        </w:tc>
      </w:tr>
      <w:tr>
        <w:tc>
          <w:tcPr>
            <w:tcW w:type="dxa" w:w="198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Mjesečni potencijal</w:t>
            </w:r>
          </w:p>
        </w:tc>
        <w:tc>
          <w:tcPr>
            <w:tcW w:type="dxa" w:w="413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250 × 20% × 24 KM = 1.200 KM</w:t>
            </w:r>
          </w:p>
        </w:tc>
        <w:tc>
          <w:tcPr>
            <w:tcW w:type="dxa" w:w="294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ovo je potencijal, ne garantovani prihod</w:t>
            </w:r>
          </w:p>
        </w:tc>
      </w:tr>
    </w:tbl>
    <w:p>
      <w:pPr>
        <w:spacing w:after="0"/>
      </w:pPr>
    </w:p>
    <w:p>
      <w:pPr>
        <w:pStyle w:val="Heading1"/>
      </w:pPr>
      <w:r>
        <w:t>9. Evidencija dokaza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2494"/>
        <w:gridCol w:w="2494"/>
        <w:gridCol w:w="2494"/>
        <w:gridCol w:w="2494"/>
      </w:tblGrid>
      <w:tr>
        <w:trPr>
          <w:tblHeader w:val="true"/>
        </w:trPr>
        <w:tc>
          <w:tcPr>
            <w:tcW w:type="dxa" w:w="249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Pretpostavka</w:t>
            </w:r>
          </w:p>
        </w:tc>
        <w:tc>
          <w:tcPr>
            <w:tcW w:type="dxa" w:w="272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Način provjere</w:t>
            </w:r>
          </w:p>
        </w:tc>
        <w:tc>
          <w:tcPr>
            <w:tcW w:type="dxa" w:w="2608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Rezultat</w:t>
            </w:r>
          </w:p>
        </w:tc>
        <w:tc>
          <w:tcPr>
            <w:tcW w:type="dxa" w:w="2381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6"/>
              </w:rPr>
              <w:t>Odluka</w:t>
            </w:r>
          </w:p>
        </w:tc>
      </w:tr>
      <w:tr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Kupci će prihvatiti cijenu od 8 KM</w:t>
            </w:r>
          </w:p>
        </w:tc>
        <w:tc>
          <w:tcPr>
            <w:tcW w:type="dxa" w:w="272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20 intervjua i testna prodaja 40 komada</w:t>
            </w:r>
          </w:p>
        </w:tc>
        <w:tc>
          <w:tcPr>
            <w:tcW w:type="dxa" w:w="260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28 komada prodano, 6 prigovora na cijenu</w:t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zadržati cijenu, ponuditi veće pakovanje za osjetljive kupce</w:t>
            </w:r>
          </w:p>
        </w:tc>
      </w:tr>
      <w:tr>
        <w:tc>
          <w:tcPr>
            <w:tcW w:type="dxa" w:w="249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Restorani žele sedmičnu isporuku</w:t>
            </w:r>
          </w:p>
        </w:tc>
        <w:tc>
          <w:tcPr>
            <w:tcW w:type="dxa" w:w="272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razgovor sa 8 restorana</w:t>
            </w:r>
          </w:p>
        </w:tc>
        <w:tc>
          <w:tcPr>
            <w:tcW w:type="dxa" w:w="2608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3 zainteresovana, traže stabilnu količinu i račun</w:t>
            </w:r>
          </w:p>
        </w:tc>
        <w:tc>
          <w:tcPr>
            <w:tcW w:type="dxa" w:w="2381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nastaviti pregovor sa 3 kupca i planirati količine</w:t>
            </w:r>
          </w:p>
        </w:tc>
      </w:tr>
      <w:tr>
        <w:tc>
          <w:tcPr>
            <w:tcW w:type="dxa" w:w="249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Online kanal je jeftiniji</w:t>
            </w:r>
          </w:p>
        </w:tc>
        <w:tc>
          <w:tcPr>
            <w:tcW w:type="dxa" w:w="272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kampanja od 14 dana</w:t>
            </w:r>
          </w:p>
        </w:tc>
        <w:tc>
          <w:tcPr>
            <w:tcW w:type="dxa" w:w="2608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više upita, ali mali broj narudžbi</w:t>
            </w:r>
          </w:p>
        </w:tc>
        <w:tc>
          <w:tcPr>
            <w:tcW w:type="dxa" w:w="2381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6"/>
              </w:rPr>
              <w:t>poboljšati ponudu i proces naručivanja prije većeg budžeta</w:t>
            </w:r>
          </w:p>
        </w:tc>
      </w:tr>
    </w:tbl>
    <w:p>
      <w:pPr>
        <w:spacing w:after="0"/>
      </w:pPr>
    </w:p>
    <w:p>
      <w:pPr>
        <w:pStyle w:val="Heading1"/>
      </w:pPr>
      <w:r>
        <w:t>10. Kada je istraživanje dovoljno</w:t>
      </w:r>
    </w:p>
    <w:p>
      <w:r>
        <w:t>Istraživanje je dovoljno za naredni korak kada se isti obrasci ponavljaju, ključne pretpostavke imaju dokaz i možete objasniti šta još nije poznato. Ne čekajte savršenstvo, ali nemojte ulagati veliki iznos na osnovu nekoliko ljubaznih komentara.</w:t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3326"/>
        <w:gridCol w:w="3326"/>
        <w:gridCol w:w="3326"/>
      </w:tblGrid>
      <w:tr>
        <w:trPr>
          <w:tblHeader w:val="true"/>
        </w:trPr>
        <w:tc>
          <w:tcPr>
            <w:tcW w:type="dxa" w:w="5669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Kontrolno pitanje</w:t>
            </w:r>
          </w:p>
        </w:tc>
        <w:tc>
          <w:tcPr>
            <w:tcW w:type="dxa" w:w="1134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Da/Ne</w:t>
            </w:r>
          </w:p>
        </w:tc>
        <w:tc>
          <w:tcPr>
            <w:tcW w:type="dxa" w:w="3402"/>
            <w:shd w:fill="315B3A"/>
            <w:tcMar>
              <w:top w:w="90" w:type="dxa"/>
              <w:start w:w="90" w:type="dxa"/>
              <w:bottom w:w="90" w:type="dxa"/>
              <w:end w:w="90" w:type="dxa"/>
            </w:tcMar>
            <w:tcBorders>
              <w:top w:sz="4" w:val="single" w:color="FFFFFF"/>
              <w:left w:sz="4" w:val="single" w:color="FFFFFF"/>
              <w:bottom w:sz="4" w:val="single" w:color="FFFFFF"/>
              <w:right w:sz="4" w:val="single" w:color="FFFFFF"/>
            </w:tcBorders>
            <w:vAlign w:val="center"/>
          </w:tcPr>
          <w:p>
            <w:pPr>
              <w:jc w:val="center"/>
            </w:pPr>
            <w:r>
              <w:rPr>
                <w:b/>
                <w:color w:val="FFFFFF"/>
                <w:sz w:val="17"/>
              </w:rPr>
              <w:t>Šta još treba provjeriti</w:t>
            </w:r>
          </w:p>
        </w:tc>
      </w:tr>
      <w:tr>
        <w:tc>
          <w:tcPr>
            <w:tcW w:type="dxa" w:w="56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Znamo ko je primarni kupac i u kojoj situaciji kupuje.</w:t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6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Imamo podatke o postojećim cijenama i alternativama.</w:t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6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Provjerili smo najmanje dva prodajna kanala.</w:t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6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Razgovarali smo sa stvarnim kupcima ili donosiocima odluka.</w:t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6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Testirali smo proizvod, cijenu ili narudžbu u malom obimu.</w:t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669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Možemo procijeniti sezonalnost i minimalni realni obim prodaje.</w:t>
            </w:r>
          </w:p>
        </w:tc>
        <w:tc>
          <w:tcPr>
            <w:tcW w:type="dxa" w:w="1134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402"/>
            <w:shd w:fill="F5F6F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  <w:tr>
        <w:tc>
          <w:tcPr>
            <w:tcW w:type="dxa" w:w="5669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  <w:t>Znamo koji dokaz bi promijenio odluku o ulaganju.</w:t>
            </w:r>
          </w:p>
        </w:tc>
        <w:tc>
          <w:tcPr>
            <w:tcW w:type="dxa" w:w="1134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  <w:tc>
          <w:tcPr>
            <w:tcW w:type="dxa" w:w="3402"/>
            <w:tcMar>
              <w:top w:w="80" w:type="dxa"/>
              <w:start w:w="90" w:type="dxa"/>
              <w:bottom w:w="80" w:type="dxa"/>
              <w:end w:w="90" w:type="dxa"/>
            </w:tcMar>
            <w:tcBorders>
              <w:top w:sz="4" w:val="single" w:color="C9D3CA"/>
              <w:left w:sz="4" w:val="single" w:color="C9D3CA"/>
              <w:bottom w:sz="4" w:val="single" w:color="C9D3CA"/>
              <w:right w:sz="4" w:val="single" w:color="C9D3CA"/>
            </w:tcBorders>
            <w:vAlign w:val="center"/>
          </w:tcPr>
          <w:p>
            <w:pPr>
              <w:spacing w:after="0"/>
            </w:pPr>
            <w:r>
              <w:rPr>
                <w:color w:val="20362A"/>
                <w:sz w:val="17"/>
              </w:rPr>
            </w:r>
          </w:p>
        </w:tc>
      </w:tr>
    </w:tbl>
    <w:p>
      <w:pPr>
        <w:spacing w:after="0"/>
      </w:pPr>
    </w:p>
    <w:sectPr w:rsidR="00FC693F" w:rsidRPr="0006063C" w:rsidSect="00034616">
      <w:headerReference w:type="default" r:id="rId9"/>
      <w:footerReference w:type="default" r:id="rId10"/>
      <w:pgSz w:w="11906" w:h="16838"/>
      <w:pgMar w:top="964" w:right="964" w:bottom="907" w:left="964" w:header="397" w:footer="397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9354" w:val="left"/>
      </w:tabs>
      <w:jc w:val="right"/>
    </w:pPr>
    <w:r>
      <w:rPr>
        <w:rFonts w:ascii="Aptos" w:hAnsi="Aptos"/>
        <w:color w:val="5E6761"/>
        <w:sz w:val="16"/>
      </w:rPr>
      <w:t>Vodič za istraživanje tržišta poljoprivrednih proizvoda</w:t>
    </w:r>
    <w:r>
      <w:tab/>
    </w:r>
    <w:r>
      <w:fldChar w:fldCharType="begin"/>
      <w:instrText xml:space="preserve"> PAGE 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ptos" w:hAnsi="Aptos"/>
        <w:b/>
        <w:color w:val="315B3A"/>
        <w:sz w:val="16"/>
      </w:rPr>
      <w:t>AGROBIZNIS AKADEMIJA  |  MOJ BIZNIS NA SELU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20" w:line="259" w:lineRule="auto"/>
    </w:pPr>
    <w:rPr>
      <w:rFonts w:ascii="Aptos" w:hAnsi="Aptos"/>
      <w:color w:val="20362A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 w:ascii="Aptos Display" w:hAnsi="Aptos Display"/>
      <w:b/>
      <w:bCs/>
      <w:color w:val="315B3A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Aptos" w:hAnsi="Aptos"/>
      <w:b/>
      <w:bCs/>
      <w:color w:val="20362A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20" w:after="60"/>
      <w:outlineLvl w:val="2"/>
    </w:pPr>
    <w:rPr>
      <w:rFonts w:asciiTheme="majorHAnsi" w:eastAsiaTheme="majorEastAsia" w:hAnsiTheme="majorHAnsi" w:cstheme="majorBidi" w:ascii="Aptos" w:hAnsi="Aptos"/>
      <w:b/>
      <w:bCs/>
      <w:color w:val="315B3A"/>
      <w:sz w:val="23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/>
      <w:pBdr>
        <w:bottom w:val="single" w:sz="8" w:space="4" w:color="4F81BD" w:themeColor="accent1"/>
      </w:pBdr>
      <w:spacing w:after="200" w:line="240" w:lineRule="auto" w:before="0"/>
      <w:contextualSpacing/>
    </w:pPr>
    <w:rPr>
      <w:rFonts w:asciiTheme="majorHAnsi" w:eastAsiaTheme="majorEastAsia" w:hAnsiTheme="majorHAnsi" w:cstheme="majorBidi" w:ascii="Aptos Display" w:hAnsi="Aptos Display"/>
      <w:b/>
      <w:color w:val="20362A"/>
      <w:spacing w:val="5"/>
      <w:kern w:val="28"/>
      <w:sz w:val="5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RuralisNote">
    <w:name w:val="Ruralis Note"/>
    <w:pPr>
      <w:spacing w:after="120"/>
    </w:pPr>
    <w:rPr>
      <w:rFonts w:ascii="Aptos" w:hAnsi="Aptos"/>
      <w:i/>
      <w:color w:val="5E6761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