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400"/>
        <w:jc w:val="center"/>
      </w:pPr>
      <w:r>
        <w:rPr>
          <w:rFonts w:ascii="Aptos Display" w:hAnsi="Aptos Display"/>
          <w:b/>
          <w:color w:val="315B3A"/>
          <w:sz w:val="34"/>
        </w:rPr>
        <w:t>AGROBIZNIS AKADEMIJA</w:t>
      </w:r>
    </w:p>
    <w:p>
      <w:pPr>
        <w:spacing w:before="320"/>
        <w:jc w:val="center"/>
      </w:pPr>
      <w:r>
        <w:rPr>
          <w:b/>
          <w:color w:val="C79B32"/>
          <w:sz w:val="22"/>
        </w:rPr>
        <w:t>PRAKTIČNI VODIČ</w:t>
      </w:r>
    </w:p>
    <w:p>
      <w:pPr>
        <w:spacing w:before="300" w:after="240"/>
        <w:jc w:val="center"/>
      </w:pPr>
      <w:r>
        <w:rPr>
          <w:rFonts w:ascii="Aptos Display" w:hAnsi="Aptos Display"/>
          <w:b/>
          <w:color w:val="20362A"/>
          <w:sz w:val="56"/>
        </w:rPr>
        <w:t>Vodič za pripremu investicionog budžeta</w:t>
      </w:r>
    </w:p>
    <w:tbl>
      <w:tblPr>
        <w:tblW w:type="auto" w:w="0"/>
        <w:jc w:val="center"/>
        <w:tblLayout w:type="fixed"/>
        <w:tblLook w:firstColumn="1" w:firstRow="1" w:lastColumn="0" w:lastRow="0" w:noHBand="0" w:noVBand="1" w:val="04A0"/>
      </w:tblPr>
      <w:tblGrid>
        <w:gridCol w:w="8050"/>
      </w:tblGrid>
      <w:tr>
        <w:tc>
          <w:tcPr>
            <w:tcW w:type="dxa" w:w="8050"/>
            <w:shd w:fill="315B3A"/>
            <w:tcBorders>
              <w:top w:val="nil"/>
              <w:left w:val="nil"/>
              <w:bottom w:val="nil"/>
              <w:right w:val="nil"/>
            </w:tcBorders>
          </w:tcPr>
          <w:p>
            <w:r/>
          </w:p>
        </w:tc>
      </w:tr>
    </w:tbl>
    <w:p>
      <w:pPr>
        <w:spacing w:before="280"/>
        <w:jc w:val="center"/>
      </w:pPr>
      <w:r>
        <w:rPr>
          <w:color w:val="5E6761"/>
          <w:sz w:val="24"/>
        </w:rPr>
        <w:t>Od ideje i ponuda do realnog plana ulaganja i finansiranja</w:t>
      </w:r>
    </w:p>
    <w:tbl>
      <w:tblPr>
        <w:tblW w:type="auto" w:w="0"/>
        <w:jc w:val="center"/>
        <w:tblLayout w:type="fixed"/>
        <w:tblLook w:firstColumn="1" w:firstRow="1" w:lastColumn="0" w:lastRow="0" w:noHBand="0" w:noVBand="1" w:val="04A0"/>
      </w:tblPr>
      <w:tblGrid>
        <w:gridCol w:w="9978"/>
      </w:tblGrid>
      <w:tr>
        <w:tc>
          <w:tcPr>
            <w:tcW w:type="dxa" w:w="8617"/>
            <w:shd w:fill="F4F0E5"/>
            <w:tcMar>
              <w:top w:w="130" w:type="dxa"/>
              <w:start w:w="160" w:type="dxa"/>
              <w:bottom w:w="130" w:type="dxa"/>
              <w:end w:w="160" w:type="dxa"/>
            </w:tcMar>
            <w:tcBorders>
              <w:top w:sz="4" w:val="single" w:color="FFFFFF"/>
              <w:left w:val="nil"/>
              <w:bottom w:sz="4" w:val="single" w:color="FFFFFF"/>
              <w:right w:val="nil"/>
            </w:tcBorders>
          </w:tcPr>
          <w:p>
            <w:pPr>
              <w:jc w:val="center"/>
            </w:pPr>
            <w:r>
              <w:rPr>
                <w:b/>
                <w:color w:val="20362A"/>
                <w:sz w:val="24"/>
              </w:rPr>
              <w:t>MOJ BIZNIS NA SELU</w:t>
            </w:r>
          </w:p>
        </w:tc>
      </w:tr>
      <w:tr>
        <w:tc>
          <w:tcPr>
            <w:tcW w:type="dxa" w:w="8617"/>
            <w:shd w:fill="F4F0E5"/>
            <w:tcMar>
              <w:top w:w="130" w:type="dxa"/>
              <w:start w:w="160" w:type="dxa"/>
              <w:bottom w:w="130" w:type="dxa"/>
              <w:end w:w="160" w:type="dxa"/>
            </w:tcMar>
            <w:tcBorders>
              <w:top w:sz="4" w:val="single" w:color="FFFFFF"/>
              <w:left w:val="nil"/>
              <w:bottom w:sz="4" w:val="single" w:color="FFFFFF"/>
              <w:right w:val="nil"/>
            </w:tcBorders>
          </w:tcPr>
          <w:p>
            <w:pPr>
              <w:jc w:val="center"/>
            </w:pPr>
            <w:r>
              <w:rPr>
                <w:color w:val="20362A"/>
                <w:sz w:val="20"/>
              </w:rPr>
              <w:t>Praktični resurs za mlade, početnike i mala poljoprivredna gazdinstva</w:t>
            </w:r>
          </w:p>
        </w:tc>
      </w:tr>
      <w:tr>
        <w:tc>
          <w:tcPr>
            <w:tcW w:type="dxa" w:w="8617"/>
            <w:shd w:fill="F4F0E5"/>
            <w:tcMar>
              <w:top w:w="130" w:type="dxa"/>
              <w:start w:w="160" w:type="dxa"/>
              <w:bottom w:w="130" w:type="dxa"/>
              <w:end w:w="160" w:type="dxa"/>
            </w:tcMar>
            <w:tcBorders>
              <w:top w:sz="4" w:val="single" w:color="FFFFFF"/>
              <w:left w:val="nil"/>
              <w:bottom w:sz="4" w:val="single" w:color="FFFFFF"/>
              <w:right w:val="nil"/>
            </w:tcBorders>
          </w:tcPr>
          <w:p>
            <w:pPr>
              <w:jc w:val="center"/>
            </w:pPr>
            <w:r>
              <w:rPr>
                <w:color w:val="5E6761"/>
                <w:sz w:val="20"/>
              </w:rPr>
              <w:t>Izdanje 2026</w:t>
            </w:r>
          </w:p>
        </w:tc>
      </w:tr>
    </w:tbl>
    <w:p>
      <w:r>
        <w:br w:type="page"/>
      </w:r>
    </w:p>
    <w:p>
      <w:pPr>
        <w:pStyle w:val="Heading1"/>
      </w:pPr>
      <w:r>
        <w:t>Kako koristiti ovaj dokument</w:t>
      </w:r>
    </w:p>
    <w:p>
      <w:r>
        <w:t>Vodič pomaže da planirano ulaganje prevedete u pregledan budžet koji se može koristiti za vlastito odlučivanje, razgovor sa finansijerom ili pripremu prijave na javni poziv. Fokus je na realnim količinama, provjerljivim cijenama, vremenu plaćanja i izvorima finansiranja.</w:t>
      </w:r>
    </w:p>
    <w:tbl>
      <w:tblPr>
        <w:tblW w:type="auto" w:w="0"/>
        <w:jc w:val="center"/>
        <w:tblLook w:firstColumn="1" w:firstRow="1" w:lastColumn="0" w:lastRow="0" w:noHBand="0" w:noVBand="1" w:val="04A0"/>
      </w:tblPr>
      <w:tblGrid>
        <w:gridCol w:w="9978"/>
      </w:tblGrid>
      <w:tr>
        <w:tc>
          <w:tcPr>
            <w:tcW w:type="dxa" w:w="9978"/>
            <w:shd w:fill="EAF2EB"/>
            <w:tcMar>
              <w:top w:w="150" w:type="dxa"/>
              <w:start w:w="170" w:type="dxa"/>
              <w:bottom w:w="150" w:type="dxa"/>
              <w:end w:w="170" w:type="dxa"/>
            </w:tcMar>
            <w:tcBorders>
              <w:top w:sz="8" w:val="single" w:color="6B8E5A"/>
              <w:left w:sz="8" w:val="single" w:color="6B8E5A"/>
              <w:bottom w:sz="8" w:val="single" w:color="6B8E5A"/>
              <w:right w:sz="8" w:val="single" w:color="6B8E5A"/>
            </w:tcBorders>
          </w:tcPr>
          <w:p>
            <w:r>
              <w:rPr>
                <w:b/>
                <w:color w:val="315B3A"/>
                <w:sz w:val="22"/>
              </w:rPr>
              <w:t>Ključni rezultat</w:t>
            </w:r>
          </w:p>
          <w:p>
            <w:pPr>
              <w:spacing w:after="0"/>
            </w:pPr>
            <w:r>
              <w:t>Na kraju ćete imati budžet u kojem se zna šta se nabavlja, zašto je potrebno, koliko košta, kada se plaća, kojim izvorom se finansira i kolika je rezerva za odstupanja.</w:t>
            </w:r>
          </w:p>
        </w:tc>
      </w:tr>
    </w:tbl>
    <w:p>
      <w:pPr>
        <w:pStyle w:val="Heading1"/>
      </w:pPr>
      <w:r>
        <w:t>1. Šta je investicioni budžet</w:t>
      </w:r>
    </w:p>
    <w:p>
      <w:r>
        <w:t>Investicioni budžet je strukturiran pregled svih troškova potrebnih da se poslovna ideja pokrene ili unaprijedi. Nije samo lista želja. Svaka stavka mora biti povezana sa proizvodnim kapacitetom, kvalitetom, sigurnošću, prodajom ili efikasnošću poslovanja.</w:t>
      </w:r>
    </w:p>
    <w:p>
      <w:pPr>
        <w:pStyle w:val="ListBullet"/>
        <w:spacing w:after="40"/>
      </w:pPr>
      <w:r>
        <w:t>opis stavke i njena svrha</w:t>
      </w:r>
    </w:p>
    <w:p>
      <w:pPr>
        <w:pStyle w:val="ListBullet"/>
        <w:spacing w:after="40"/>
      </w:pPr>
      <w:r>
        <w:t>jedinica mjere, količina i cijena po jedinici</w:t>
      </w:r>
    </w:p>
    <w:p>
      <w:pPr>
        <w:pStyle w:val="ListBullet"/>
        <w:spacing w:after="40"/>
      </w:pPr>
      <w:r>
        <w:t>ukupan iznos i procijenjeni mjesec plaćanja</w:t>
      </w:r>
    </w:p>
    <w:p>
      <w:pPr>
        <w:pStyle w:val="ListBullet"/>
        <w:spacing w:after="40"/>
      </w:pPr>
      <w:r>
        <w:t>izvor cijene: ponuda, cjenovnik, prethodna nabavka ili tržišna provjera</w:t>
      </w:r>
    </w:p>
    <w:p>
      <w:pPr>
        <w:pStyle w:val="ListBullet"/>
        <w:spacing w:after="40"/>
      </w:pPr>
      <w:r>
        <w:t>izvor finansiranja: vlastita sredstva, grant, kredit ili drugi izvor</w:t>
      </w:r>
    </w:p>
    <w:p>
      <w:pPr>
        <w:pStyle w:val="ListBullet"/>
        <w:spacing w:after="40"/>
      </w:pPr>
      <w:r>
        <w:t>napomena o zavisnostima, rokovima isporuke i dodatnim troškovima</w:t>
      </w:r>
    </w:p>
    <w:p>
      <w:pPr>
        <w:pStyle w:val="Heading1"/>
      </w:pPr>
      <w:r>
        <w:t>2. Razlikujte ulaganja i tekuće troškove</w:t>
      </w:r>
    </w:p>
    <w:tbl>
      <w:tblPr>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381"/>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Vrsta troška</w:t>
            </w:r>
          </w:p>
        </w:tc>
        <w:tc>
          <w:tcPr>
            <w:tcW w:type="dxa" w:w="3402"/>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Primjeri</w:t>
            </w:r>
          </w:p>
        </w:tc>
        <w:tc>
          <w:tcPr>
            <w:tcW w:type="dxa" w:w="3402"/>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Zašto je važno razdvojiti</w:t>
            </w:r>
          </w:p>
        </w:tc>
      </w:tr>
      <w:tr>
        <w:tc>
          <w:tcPr>
            <w:tcW w:type="dxa" w:w="238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Investiciona ulaganja</w:t>
            </w:r>
          </w:p>
        </w:tc>
        <w:tc>
          <w:tcPr>
            <w:tcW w:type="dxa" w:w="3402"/>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objekti, oprema, sistemi za navodnjavanje, vozilo, višegodišnji zasadi</w:t>
            </w:r>
          </w:p>
        </w:tc>
        <w:tc>
          <w:tcPr>
            <w:tcW w:type="dxa" w:w="3402"/>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Koriste se duže vrijeme i često imaju drugačiji tretman u finansiranju i evidenciji.</w:t>
            </w:r>
          </w:p>
        </w:tc>
      </w:tr>
      <w:tr>
        <w:tc>
          <w:tcPr>
            <w:tcW w:type="dxa" w:w="238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Početna obrtna sredstva</w:t>
            </w:r>
          </w:p>
        </w:tc>
        <w:tc>
          <w:tcPr>
            <w:tcW w:type="dxa" w:w="3402"/>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sirovine, ambalaža, energija, transport i plate do prve naplate</w:t>
            </w:r>
          </w:p>
        </w:tc>
        <w:tc>
          <w:tcPr>
            <w:tcW w:type="dxa" w:w="3402"/>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Pokrivaju period od pokretanja do stabilnog priliva novca.</w:t>
            </w:r>
          </w:p>
        </w:tc>
      </w:tr>
      <w:tr>
        <w:tc>
          <w:tcPr>
            <w:tcW w:type="dxa" w:w="238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Redovni operativni troškovi</w:t>
            </w:r>
          </w:p>
        </w:tc>
        <w:tc>
          <w:tcPr>
            <w:tcW w:type="dxa" w:w="3402"/>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mjesečni zakup, gorivo, održavanje, marketing i administracija</w:t>
            </w:r>
          </w:p>
        </w:tc>
        <w:tc>
          <w:tcPr>
            <w:tcW w:type="dxa" w:w="3402"/>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Moraju biti pokriveni prihodima poslovanja, a ne samo početnim grantom ili kreditom.</w:t>
            </w:r>
          </w:p>
        </w:tc>
      </w:tr>
    </w:tbl>
    <w:p>
      <w:pPr>
        <w:spacing w:after="0"/>
      </w:pPr>
    </w:p>
    <w:p>
      <w:pPr>
        <w:pStyle w:val="RuralisNote"/>
      </w:pPr>
      <w:r>
        <w:t>Kod poreskog i računovodstvenog tretmana pojedinih stavki provjerite aktuelna pravila sa kvalifikovanim računovođom ili nadležnom institucijom.</w:t>
      </w:r>
    </w:p>
    <w:p>
      <w:pPr>
        <w:pStyle w:val="Heading1"/>
      </w:pPr>
      <w:r>
        <w:t>3. Kategorije koje treba provjeriti</w:t>
      </w:r>
    </w:p>
    <w:tbl>
      <w:tblPr>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098"/>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6"/>
              </w:rPr>
              <w:t>Kategorija</w:t>
            </w:r>
          </w:p>
        </w:tc>
        <w:tc>
          <w:tcPr>
            <w:tcW w:type="dxa" w:w="3969"/>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6"/>
              </w:rPr>
              <w:t>Tipične stavke</w:t>
            </w:r>
          </w:p>
        </w:tc>
        <w:tc>
          <w:tcPr>
            <w:tcW w:type="dxa" w:w="3118"/>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6"/>
              </w:rPr>
              <w:t>Pitanje za provjeru</w:t>
            </w:r>
          </w:p>
        </w:tc>
      </w:tr>
      <w:tr>
        <w:tc>
          <w:tcPr>
            <w:tcW w:type="dxa" w:w="209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Zemljište i priprema</w:t>
            </w:r>
          </w:p>
        </w:tc>
        <w:tc>
          <w:tcPr>
            <w:tcW w:type="dxa" w:w="3969"/>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čišćenje, ravnanje, analiza zemljišta, ograde, pristupni put</w:t>
            </w:r>
          </w:p>
        </w:tc>
        <w:tc>
          <w:tcPr>
            <w:tcW w:type="dxa" w:w="311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Da li su svi pripremni radovi uračunati?</w:t>
            </w:r>
          </w:p>
        </w:tc>
      </w:tr>
      <w:tr>
        <w:tc>
          <w:tcPr>
            <w:tcW w:type="dxa" w:w="209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Objekti</w:t>
            </w:r>
          </w:p>
        </w:tc>
        <w:tc>
          <w:tcPr>
            <w:tcW w:type="dxa" w:w="3969"/>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adaptacija, hladnjača, skladište, preradni prostor, sanitarni čvor</w:t>
            </w:r>
          </w:p>
        </w:tc>
        <w:tc>
          <w:tcPr>
            <w:tcW w:type="dxa" w:w="311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Da li cijena uključuje instalacije i završne radove?</w:t>
            </w:r>
          </w:p>
        </w:tc>
      </w:tr>
      <w:tr>
        <w:tc>
          <w:tcPr>
            <w:tcW w:type="dxa" w:w="209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Oprema i mehanizacija</w:t>
            </w:r>
          </w:p>
        </w:tc>
        <w:tc>
          <w:tcPr>
            <w:tcW w:type="dxa" w:w="3969"/>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mašine, alati, mjerne naprave, rashladna i pakirna oprema</w:t>
            </w:r>
          </w:p>
        </w:tc>
        <w:tc>
          <w:tcPr>
            <w:tcW w:type="dxa" w:w="311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Da li su uključeni dostava, montaža i obuka?</w:t>
            </w:r>
          </w:p>
        </w:tc>
      </w:tr>
      <w:tr>
        <w:tc>
          <w:tcPr>
            <w:tcW w:type="dxa" w:w="209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Sadni ili uzgojni materijal</w:t>
            </w:r>
          </w:p>
        </w:tc>
        <w:tc>
          <w:tcPr>
            <w:tcW w:type="dxa" w:w="3969"/>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sadnice, sjeme, matična grla, pčelinja društva</w:t>
            </w:r>
          </w:p>
        </w:tc>
        <w:tc>
          <w:tcPr>
            <w:tcW w:type="dxa" w:w="311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Da li su kvalitet, količina i rok isporuke realni?</w:t>
            </w:r>
          </w:p>
        </w:tc>
      </w:tr>
      <w:tr>
        <w:tc>
          <w:tcPr>
            <w:tcW w:type="dxa" w:w="209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Ambalaža i označavanje</w:t>
            </w:r>
          </w:p>
        </w:tc>
        <w:tc>
          <w:tcPr>
            <w:tcW w:type="dxa" w:w="3969"/>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tegle, boce, kutije, etikete, transportna ambalaža</w:t>
            </w:r>
          </w:p>
        </w:tc>
        <w:tc>
          <w:tcPr>
            <w:tcW w:type="dxa" w:w="311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Kolika je minimalna narudžba i rok izrade?</w:t>
            </w:r>
          </w:p>
        </w:tc>
      </w:tr>
      <w:tr>
        <w:tc>
          <w:tcPr>
            <w:tcW w:type="dxa" w:w="209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Digitalna i prodajna oprema</w:t>
            </w:r>
          </w:p>
        </w:tc>
        <w:tc>
          <w:tcPr>
            <w:tcW w:type="dxa" w:w="3969"/>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web, kasa, softver, fotografije, štand, rashladna vitrina</w:t>
            </w:r>
          </w:p>
        </w:tc>
        <w:tc>
          <w:tcPr>
            <w:tcW w:type="dxa" w:w="311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Da li stavka direktno podržava prodaju i naplatu?</w:t>
            </w:r>
          </w:p>
        </w:tc>
      </w:tr>
      <w:tr>
        <w:tc>
          <w:tcPr>
            <w:tcW w:type="dxa" w:w="209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Obrtna sredstva</w:t>
            </w:r>
          </w:p>
        </w:tc>
        <w:tc>
          <w:tcPr>
            <w:tcW w:type="dxa" w:w="3969"/>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sirovine, energija, gorivo, plate, transport, analiza proizvoda</w:t>
            </w:r>
          </w:p>
        </w:tc>
        <w:tc>
          <w:tcPr>
            <w:tcW w:type="dxa" w:w="311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Koliko mjeseci treba finansirati prije stabilne naplate?</w:t>
            </w:r>
          </w:p>
        </w:tc>
      </w:tr>
      <w:tr>
        <w:tc>
          <w:tcPr>
            <w:tcW w:type="dxa" w:w="209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Rezerva</w:t>
            </w:r>
          </w:p>
        </w:tc>
        <w:tc>
          <w:tcPr>
            <w:tcW w:type="dxa" w:w="3969"/>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nepredviđeni radovi, promjena cijene, zamjenska nabavka</w:t>
            </w:r>
          </w:p>
        </w:tc>
        <w:tc>
          <w:tcPr>
            <w:tcW w:type="dxa" w:w="311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Da li je rezerva razumna i obrazložena?</w:t>
            </w:r>
          </w:p>
        </w:tc>
      </w:tr>
    </w:tbl>
    <w:p>
      <w:pPr>
        <w:spacing w:after="0"/>
      </w:pPr>
    </w:p>
    <w:p>
      <w:pPr>
        <w:pStyle w:val="Heading1"/>
      </w:pPr>
      <w:r>
        <w:t>4. Količina × cijena = iznos, ali tek nakon provjere</w:t>
      </w:r>
    </w:p>
    <w:p>
      <w:r>
        <w:t>Za svaku stavku prvo definišite tehnički ili poslovni zahtjev. Tek zatim prikupljajte cijene. Najniža cijena nije uvijek najbolji izbor ako oprema nema servis, rezervne dijelove, odgovarajući kapacitet ili potrebnu garanciju.</w:t>
      </w:r>
    </w:p>
    <w:p>
      <w:pPr>
        <w:pStyle w:val="ListNumber"/>
        <w:spacing w:after="60"/>
      </w:pPr>
      <w:r>
        <w:t>Napišite funkciju koju stavka mora ispuniti.</w:t>
      </w:r>
    </w:p>
    <w:p>
      <w:pPr>
        <w:pStyle w:val="ListNumber"/>
        <w:spacing w:after="60"/>
      </w:pPr>
      <w:r>
        <w:t>Odredite minimalne tehničke karakteristike i kapacitet.</w:t>
      </w:r>
    </w:p>
    <w:p>
      <w:pPr>
        <w:pStyle w:val="ListNumber"/>
        <w:spacing w:after="60"/>
      </w:pPr>
      <w:r>
        <w:t>Provjerite najmanje dvije relevantne tržišne opcije gdje je moguće.</w:t>
      </w:r>
    </w:p>
    <w:p>
      <w:pPr>
        <w:pStyle w:val="ListNumber"/>
        <w:spacing w:after="60"/>
      </w:pPr>
      <w:r>
        <w:t>Uključite sve prateće troškove: dostavu, montažu, carinske ili druge troškove kada su primjenjivi, obuku i puštanje u rad.</w:t>
      </w:r>
    </w:p>
    <w:p>
      <w:pPr>
        <w:pStyle w:val="ListNumber"/>
        <w:spacing w:after="60"/>
      </w:pPr>
      <w:r>
        <w:t>Zabilježite datum ponude jer cijene i rokovi mogu brzo zastarjeti.</w:t>
      </w:r>
    </w:p>
    <w:p>
      <w:pPr>
        <w:pStyle w:val="Heading1"/>
      </w:pPr>
      <w:r>
        <w:t>5. Primjer strukture investicionog budžeta</w:t>
      </w:r>
    </w:p>
    <w:tbl>
      <w:tblPr>
        <w:tblW w:type="auto" w:w="0"/>
        <w:jc w:val="center"/>
        <w:tblLayout w:type="fixed"/>
        <w:tblLook w:firstColumn="1" w:firstRow="1" w:lastColumn="0" w:lastRow="0" w:noHBand="0" w:noVBand="1" w:val="04A0"/>
      </w:tblPr>
      <w:tblGrid>
        <w:gridCol w:w="1425"/>
        <w:gridCol w:w="1425"/>
        <w:gridCol w:w="1425"/>
        <w:gridCol w:w="1425"/>
        <w:gridCol w:w="1425"/>
        <w:gridCol w:w="1425"/>
        <w:gridCol w:w="1425"/>
      </w:tblGrid>
      <w:tr>
        <w:trPr>
          <w:tblHeader w:val="true"/>
        </w:trPr>
        <w:tc>
          <w:tcPr>
            <w:tcW w:type="dxa" w:w="1361"/>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5"/>
              </w:rPr>
              <w:t>Kategorija</w:t>
            </w:r>
          </w:p>
        </w:tc>
        <w:tc>
          <w:tcPr>
            <w:tcW w:type="dxa" w:w="2721"/>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5"/>
              </w:rPr>
              <w:t>Stavka</w:t>
            </w:r>
          </w:p>
        </w:tc>
        <w:tc>
          <w:tcPr>
            <w:tcW w:type="dxa" w:w="907"/>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5"/>
              </w:rPr>
              <w:t>Jedinica</w:t>
            </w:r>
          </w:p>
        </w:tc>
        <w:tc>
          <w:tcPr>
            <w:tcW w:type="dxa" w:w="794"/>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5"/>
              </w:rPr>
              <w:t>Količina</w:t>
            </w:r>
          </w:p>
        </w:tc>
        <w:tc>
          <w:tcPr>
            <w:tcW w:type="dxa" w:w="1361"/>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5"/>
              </w:rPr>
              <w:t>Cijena/jed. (KM)</w:t>
            </w:r>
          </w:p>
        </w:tc>
        <w:tc>
          <w:tcPr>
            <w:tcW w:type="dxa" w:w="1247"/>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5"/>
              </w:rPr>
              <w:t>Ukupno (KM)</w:t>
            </w:r>
          </w:p>
        </w:tc>
        <w:tc>
          <w:tcPr>
            <w:tcW w:type="dxa" w:w="1871"/>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5"/>
              </w:rPr>
              <w:t>Izvor cijene</w:t>
            </w:r>
          </w:p>
        </w:tc>
      </w:tr>
      <w:tr>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Oprema</w:t>
            </w:r>
          </w:p>
        </w:tc>
        <w:tc>
          <w:tcPr>
            <w:tcW w:type="dxa" w:w="272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Pasterizator 100 l</w:t>
            </w:r>
          </w:p>
        </w:tc>
        <w:tc>
          <w:tcPr>
            <w:tcW w:type="dxa" w:w="90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kom</w:t>
            </w:r>
          </w:p>
        </w:tc>
        <w:tc>
          <w:tcPr>
            <w:tcW w:type="dxa" w:w="79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w:t>
            </w:r>
          </w:p>
        </w:tc>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8.500</w:t>
            </w:r>
          </w:p>
        </w:tc>
        <w:tc>
          <w:tcPr>
            <w:tcW w:type="dxa" w:w="124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8.500</w:t>
            </w:r>
          </w:p>
        </w:tc>
        <w:tc>
          <w:tcPr>
            <w:tcW w:type="dxa" w:w="187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Pisane ponude dobavljača</w:t>
            </w:r>
          </w:p>
        </w:tc>
      </w:tr>
      <w:tr>
        <w:tc>
          <w:tcPr>
            <w:tcW w:type="dxa" w:w="136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Oprema</w:t>
            </w:r>
          </w:p>
        </w:tc>
        <w:tc>
          <w:tcPr>
            <w:tcW w:type="dxa" w:w="272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Punilica i zatvarač</w:t>
            </w:r>
          </w:p>
        </w:tc>
        <w:tc>
          <w:tcPr>
            <w:tcW w:type="dxa" w:w="90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set</w:t>
            </w:r>
          </w:p>
        </w:tc>
        <w:tc>
          <w:tcPr>
            <w:tcW w:type="dxa" w:w="79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w:t>
            </w:r>
          </w:p>
        </w:tc>
        <w:tc>
          <w:tcPr>
            <w:tcW w:type="dxa" w:w="136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4.200</w:t>
            </w:r>
          </w:p>
        </w:tc>
        <w:tc>
          <w:tcPr>
            <w:tcW w:type="dxa" w:w="124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4.200</w:t>
            </w:r>
          </w:p>
        </w:tc>
        <w:tc>
          <w:tcPr>
            <w:tcW w:type="dxa" w:w="187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Cjenovnik i provjera servisa</w:t>
            </w:r>
          </w:p>
        </w:tc>
      </w:tr>
      <w:tr>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Objekat</w:t>
            </w:r>
          </w:p>
        </w:tc>
        <w:tc>
          <w:tcPr>
            <w:tcW w:type="dxa" w:w="272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Adaptacija 25 m²</w:t>
            </w:r>
          </w:p>
        </w:tc>
        <w:tc>
          <w:tcPr>
            <w:tcW w:type="dxa" w:w="90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m²</w:t>
            </w:r>
          </w:p>
        </w:tc>
        <w:tc>
          <w:tcPr>
            <w:tcW w:type="dxa" w:w="79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25</w:t>
            </w:r>
          </w:p>
        </w:tc>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180</w:t>
            </w:r>
          </w:p>
        </w:tc>
        <w:tc>
          <w:tcPr>
            <w:tcW w:type="dxa" w:w="124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4.500</w:t>
            </w:r>
          </w:p>
        </w:tc>
        <w:tc>
          <w:tcPr>
            <w:tcW w:type="dxa" w:w="187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Predmjer i ponuda izvođača</w:t>
            </w:r>
          </w:p>
        </w:tc>
      </w:tr>
      <w:tr>
        <w:tc>
          <w:tcPr>
            <w:tcW w:type="dxa" w:w="136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Ambalaža</w:t>
            </w:r>
          </w:p>
        </w:tc>
        <w:tc>
          <w:tcPr>
            <w:tcW w:type="dxa" w:w="272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Početna zaliha boca i etiketa</w:t>
            </w:r>
          </w:p>
        </w:tc>
        <w:tc>
          <w:tcPr>
            <w:tcW w:type="dxa" w:w="90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paket</w:t>
            </w:r>
          </w:p>
        </w:tc>
        <w:tc>
          <w:tcPr>
            <w:tcW w:type="dxa" w:w="79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w:t>
            </w:r>
          </w:p>
        </w:tc>
        <w:tc>
          <w:tcPr>
            <w:tcW w:type="dxa" w:w="136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1.600</w:t>
            </w:r>
          </w:p>
        </w:tc>
        <w:tc>
          <w:tcPr>
            <w:tcW w:type="dxa" w:w="124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1.600</w:t>
            </w:r>
          </w:p>
        </w:tc>
        <w:tc>
          <w:tcPr>
            <w:tcW w:type="dxa" w:w="187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Ponuda proizvođača ambalaže</w:t>
            </w:r>
          </w:p>
        </w:tc>
      </w:tr>
      <w:tr>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Obrtna sredstva</w:t>
            </w:r>
          </w:p>
        </w:tc>
        <w:tc>
          <w:tcPr>
            <w:tcW w:type="dxa" w:w="272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Sirovina i tekući troškovi za 2 mjeseca</w:t>
            </w:r>
          </w:p>
        </w:tc>
        <w:tc>
          <w:tcPr>
            <w:tcW w:type="dxa" w:w="90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paket</w:t>
            </w:r>
          </w:p>
        </w:tc>
        <w:tc>
          <w:tcPr>
            <w:tcW w:type="dxa" w:w="79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w:t>
            </w:r>
          </w:p>
        </w:tc>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6.000</w:t>
            </w:r>
          </w:p>
        </w:tc>
        <w:tc>
          <w:tcPr>
            <w:tcW w:type="dxa" w:w="124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6.000</w:t>
            </w:r>
          </w:p>
        </w:tc>
        <w:tc>
          <w:tcPr>
            <w:tcW w:type="dxa" w:w="187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Procjena prema planu proizvodnje</w:t>
            </w:r>
          </w:p>
        </w:tc>
      </w:tr>
      <w:tr>
        <w:tc>
          <w:tcPr>
            <w:tcW w:type="dxa" w:w="136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Rezerva</w:t>
            </w:r>
          </w:p>
        </w:tc>
        <w:tc>
          <w:tcPr>
            <w:tcW w:type="dxa" w:w="272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Nepredviđeni troškovi</w:t>
            </w:r>
          </w:p>
        </w:tc>
        <w:tc>
          <w:tcPr>
            <w:tcW w:type="dxa" w:w="90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paket</w:t>
            </w:r>
          </w:p>
        </w:tc>
        <w:tc>
          <w:tcPr>
            <w:tcW w:type="dxa" w:w="79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1</w:t>
            </w:r>
          </w:p>
        </w:tc>
        <w:tc>
          <w:tcPr>
            <w:tcW w:type="dxa" w:w="136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2.000</w:t>
            </w:r>
          </w:p>
        </w:tc>
        <w:tc>
          <w:tcPr>
            <w:tcW w:type="dxa" w:w="124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2.000</w:t>
            </w:r>
          </w:p>
        </w:tc>
        <w:tc>
          <w:tcPr>
            <w:tcW w:type="dxa" w:w="187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Obrazložena rezerva</w:t>
            </w:r>
          </w:p>
        </w:tc>
      </w:tr>
      <w:tr>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r>
          </w:p>
        </w:tc>
        <w:tc>
          <w:tcPr>
            <w:tcW w:type="dxa" w:w="272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UKUPNO</w:t>
            </w:r>
          </w:p>
        </w:tc>
        <w:tc>
          <w:tcPr>
            <w:tcW w:type="dxa" w:w="90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r>
          </w:p>
        </w:tc>
        <w:tc>
          <w:tcPr>
            <w:tcW w:type="dxa" w:w="79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r>
          </w:p>
        </w:tc>
        <w:tc>
          <w:tcPr>
            <w:tcW w:type="dxa" w:w="136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r>
          </w:p>
        </w:tc>
        <w:tc>
          <w:tcPr>
            <w:tcW w:type="dxa" w:w="124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t>26.800</w:t>
            </w:r>
          </w:p>
        </w:tc>
        <w:tc>
          <w:tcPr>
            <w:tcW w:type="dxa" w:w="187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5"/>
              </w:rPr>
            </w:r>
          </w:p>
        </w:tc>
      </w:tr>
    </w:tbl>
    <w:p>
      <w:pPr>
        <w:spacing w:after="0"/>
      </w:pPr>
    </w:p>
    <w:p>
      <w:pPr>
        <w:pStyle w:val="Heading1"/>
      </w:pPr>
      <w:r>
        <w:t>6. Izvori finansiranja i finansijska konstrukcija</w:t>
      </w:r>
    </w:p>
    <w:p>
      <w:r>
        <w:t>Dobro pripremljen budžet pokazuje ne samo koliko ulaganje košta nego i kako će se zatvoriti finansijska konstrukcija. Ne oslanjajte se na izvor koji još nije potvrđen bez rezervnog plana.</w:t>
      </w:r>
    </w:p>
    <w:tbl>
      <w:tblPr>
        <w:tblW w:type="auto" w:w="0"/>
        <w:jc w:val="center"/>
        <w:tblLayout w:type="fixed"/>
        <w:tblLook w:firstColumn="1" w:firstRow="1" w:lastColumn="0" w:lastRow="0" w:noHBand="0" w:noVBand="1" w:val="04A0"/>
      </w:tblPr>
      <w:tblGrid>
        <w:gridCol w:w="1996"/>
        <w:gridCol w:w="1996"/>
        <w:gridCol w:w="1996"/>
        <w:gridCol w:w="1996"/>
        <w:gridCol w:w="1996"/>
      </w:tblGrid>
      <w:tr>
        <w:trPr>
          <w:tblHeader w:val="true"/>
        </w:trPr>
        <w:tc>
          <w:tcPr>
            <w:tcW w:type="dxa" w:w="2268"/>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Izvor</w:t>
            </w:r>
          </w:p>
        </w:tc>
        <w:tc>
          <w:tcPr>
            <w:tcW w:type="dxa" w:w="1984"/>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Planirani iznos (KM)</w:t>
            </w:r>
          </w:p>
        </w:tc>
        <w:tc>
          <w:tcPr>
            <w:tcW w:type="dxa" w:w="1247"/>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Učešće</w:t>
            </w:r>
          </w:p>
        </w:tc>
        <w:tc>
          <w:tcPr>
            <w:tcW w:type="dxa" w:w="1814"/>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Status</w:t>
            </w:r>
          </w:p>
        </w:tc>
        <w:tc>
          <w:tcPr>
            <w:tcW w:type="dxa" w:w="2835"/>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Ključni uslov</w:t>
            </w:r>
          </w:p>
        </w:tc>
      </w:tr>
      <w:tr>
        <w:tc>
          <w:tcPr>
            <w:tcW w:type="dxa" w:w="226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Vlastita sredstva</w:t>
            </w:r>
          </w:p>
        </w:tc>
        <w:tc>
          <w:tcPr>
            <w:tcW w:type="dxa" w:w="198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8.000</w:t>
            </w:r>
          </w:p>
        </w:tc>
        <w:tc>
          <w:tcPr>
            <w:tcW w:type="dxa" w:w="124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30%</w:t>
            </w:r>
          </w:p>
        </w:tc>
        <w:tc>
          <w:tcPr>
            <w:tcW w:type="dxa" w:w="181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Raspoloživo</w:t>
            </w:r>
          </w:p>
        </w:tc>
        <w:tc>
          <w:tcPr>
            <w:tcW w:type="dxa" w:w="283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Novac mora ostati dostupan do plaćanja</w:t>
            </w:r>
          </w:p>
        </w:tc>
      </w:tr>
      <w:tr>
        <w:tc>
          <w:tcPr>
            <w:tcW w:type="dxa" w:w="226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Grant</w:t>
            </w:r>
          </w:p>
        </w:tc>
        <w:tc>
          <w:tcPr>
            <w:tcW w:type="dxa" w:w="198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12.000</w:t>
            </w:r>
          </w:p>
        </w:tc>
        <w:tc>
          <w:tcPr>
            <w:tcW w:type="dxa" w:w="124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45%</w:t>
            </w:r>
          </w:p>
        </w:tc>
        <w:tc>
          <w:tcPr>
            <w:tcW w:type="dxa" w:w="181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Planirana prijava</w:t>
            </w:r>
          </w:p>
        </w:tc>
        <w:tc>
          <w:tcPr>
            <w:tcW w:type="dxa" w:w="283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Provjeriti prihvatljive troškove i način refundacije</w:t>
            </w:r>
          </w:p>
        </w:tc>
      </w:tr>
      <w:tr>
        <w:tc>
          <w:tcPr>
            <w:tcW w:type="dxa" w:w="2268"/>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Kredit</w:t>
            </w:r>
          </w:p>
        </w:tc>
        <w:tc>
          <w:tcPr>
            <w:tcW w:type="dxa" w:w="198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6.800</w:t>
            </w:r>
          </w:p>
        </w:tc>
        <w:tc>
          <w:tcPr>
            <w:tcW w:type="dxa" w:w="1247"/>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25%</w:t>
            </w:r>
          </w:p>
        </w:tc>
        <w:tc>
          <w:tcPr>
            <w:tcW w:type="dxa" w:w="181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Informativni razgovor</w:t>
            </w:r>
          </w:p>
        </w:tc>
        <w:tc>
          <w:tcPr>
            <w:tcW w:type="dxa" w:w="283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Procijeniti ratu, kamatu i period počeka</w:t>
            </w:r>
          </w:p>
        </w:tc>
      </w:tr>
      <w:tr>
        <w:tc>
          <w:tcPr>
            <w:tcW w:type="dxa" w:w="2268"/>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UKUPNO</w:t>
            </w:r>
          </w:p>
        </w:tc>
        <w:tc>
          <w:tcPr>
            <w:tcW w:type="dxa" w:w="198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26.800</w:t>
            </w:r>
          </w:p>
        </w:tc>
        <w:tc>
          <w:tcPr>
            <w:tcW w:type="dxa" w:w="1247"/>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100%</w:t>
            </w:r>
          </w:p>
        </w:tc>
        <w:tc>
          <w:tcPr>
            <w:tcW w:type="dxa" w:w="181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r>
          </w:p>
        </w:tc>
        <w:tc>
          <w:tcPr>
            <w:tcW w:type="dxa" w:w="283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r>
          </w:p>
        </w:tc>
      </w:tr>
    </w:tbl>
    <w:p>
      <w:pPr>
        <w:spacing w:after="0"/>
      </w:pPr>
    </w:p>
    <w:p>
      <w:pPr>
        <w:pStyle w:val="Heading1"/>
      </w:pPr>
      <w:r>
        <w:t>7. Vremenski plan plaćanja i likvidnost</w:t>
      </w:r>
    </w:p>
    <w:p>
      <w:r>
        <w:t>Budžet može biti finansijski zatvoren, a da projekat ipak ostane bez novca u određenom mjesecu. Zato uz budžet napravite raspored avansa, isporuka, refundacija i dospijeća kredita.</w:t>
      </w:r>
    </w:p>
    <w:tbl>
      <w:tblPr>
        <w:tblW w:type="auto" w:w="0"/>
        <w:jc w:val="center"/>
        <w:tblLayout w:type="fixed"/>
        <w:tblLook w:firstColumn="1" w:firstRow="1" w:lastColumn="0" w:lastRow="0" w:noHBand="0" w:noVBand="1" w:val="04A0"/>
      </w:tblPr>
      <w:tblGrid>
        <w:gridCol w:w="2494"/>
        <w:gridCol w:w="2494"/>
        <w:gridCol w:w="2494"/>
        <w:gridCol w:w="2494"/>
      </w:tblGrid>
      <w:tr>
        <w:trPr>
          <w:tblHeader w:val="true"/>
        </w:trPr>
        <w:tc>
          <w:tcPr>
            <w:tcW w:type="dxa" w:w="1134"/>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Mjesec</w:t>
            </w:r>
          </w:p>
        </w:tc>
        <w:tc>
          <w:tcPr>
            <w:tcW w:type="dxa" w:w="3402"/>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Glavna plaćanja</w:t>
            </w:r>
          </w:p>
        </w:tc>
        <w:tc>
          <w:tcPr>
            <w:tcW w:type="dxa" w:w="2551"/>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Očekivani izvor novca</w:t>
            </w:r>
          </w:p>
        </w:tc>
        <w:tc>
          <w:tcPr>
            <w:tcW w:type="dxa" w:w="2665"/>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7"/>
              </w:rPr>
              <w:t>Rizik</w:t>
            </w:r>
          </w:p>
        </w:tc>
      </w:tr>
      <w:tr>
        <w:tc>
          <w:tcPr>
            <w:tcW w:type="dxa" w:w="113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1</w:t>
            </w:r>
          </w:p>
        </w:tc>
        <w:tc>
          <w:tcPr>
            <w:tcW w:type="dxa" w:w="3402"/>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avans za opremu, projektovanje adaptacije</w:t>
            </w:r>
          </w:p>
        </w:tc>
        <w:tc>
          <w:tcPr>
            <w:tcW w:type="dxa" w:w="255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vlastita sredstva</w:t>
            </w:r>
          </w:p>
        </w:tc>
        <w:tc>
          <w:tcPr>
            <w:tcW w:type="dxa" w:w="266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veći avans prije potvrde granta</w:t>
            </w:r>
          </w:p>
        </w:tc>
      </w:tr>
      <w:tr>
        <w:tc>
          <w:tcPr>
            <w:tcW w:type="dxa" w:w="113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2</w:t>
            </w:r>
          </w:p>
        </w:tc>
        <w:tc>
          <w:tcPr>
            <w:tcW w:type="dxa" w:w="3402"/>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građevinski radovi i instalacije</w:t>
            </w:r>
          </w:p>
        </w:tc>
        <w:tc>
          <w:tcPr>
            <w:tcW w:type="dxa" w:w="255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vlastita sredstva + kredit</w:t>
            </w:r>
          </w:p>
        </w:tc>
        <w:tc>
          <w:tcPr>
            <w:tcW w:type="dxa" w:w="266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kašnjenje radova</w:t>
            </w:r>
          </w:p>
        </w:tc>
      </w:tr>
      <w:tr>
        <w:tc>
          <w:tcPr>
            <w:tcW w:type="dxa" w:w="113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3</w:t>
            </w:r>
          </w:p>
        </w:tc>
        <w:tc>
          <w:tcPr>
            <w:tcW w:type="dxa" w:w="3402"/>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isporuka i montaža opreme</w:t>
            </w:r>
          </w:p>
        </w:tc>
        <w:tc>
          <w:tcPr>
            <w:tcW w:type="dxa" w:w="2551"/>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kredit ili grant prema pravilima</w:t>
            </w:r>
          </w:p>
        </w:tc>
        <w:tc>
          <w:tcPr>
            <w:tcW w:type="dxa" w:w="266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refundacija dolazi nakon plaćanja</w:t>
            </w:r>
          </w:p>
        </w:tc>
      </w:tr>
      <w:tr>
        <w:tc>
          <w:tcPr>
            <w:tcW w:type="dxa" w:w="113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4</w:t>
            </w:r>
          </w:p>
        </w:tc>
        <w:tc>
          <w:tcPr>
            <w:tcW w:type="dxa" w:w="3402"/>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ambalaža i početne sirovine</w:t>
            </w:r>
          </w:p>
        </w:tc>
        <w:tc>
          <w:tcPr>
            <w:tcW w:type="dxa" w:w="2551"/>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vlastita sredstva</w:t>
            </w:r>
          </w:p>
        </w:tc>
        <w:tc>
          <w:tcPr>
            <w:tcW w:type="dxa" w:w="266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7"/>
              </w:rPr>
              <w:t>nedovoljno obrtnih sredstava</w:t>
            </w:r>
          </w:p>
        </w:tc>
      </w:tr>
    </w:tbl>
    <w:p>
      <w:pPr>
        <w:spacing w:after="0"/>
      </w:pPr>
    </w:p>
    <w:p>
      <w:pPr>
        <w:pStyle w:val="Heading1"/>
      </w:pPr>
      <w:r>
        <w:t>8. Rezerva i upravljanje promjenama</w:t>
      </w:r>
    </w:p>
    <w:p>
      <w:r>
        <w:t>Rezerva treba pokriti razumno predvidiva odstupanja, ali ne smije prikrivati slabo istražene cijene. Visinu rezerve odredite prema riziku, dužini perioda do nabavke i mogućnosti zamjene dobavljača.</w:t>
      </w:r>
    </w:p>
    <w:p>
      <w:pPr>
        <w:pStyle w:val="ListBullet"/>
        <w:spacing w:after="40"/>
      </w:pPr>
      <w:r>
        <w:t>promjena cijena opreme ili građevinskih radova</w:t>
      </w:r>
    </w:p>
    <w:p>
      <w:pPr>
        <w:pStyle w:val="ListBullet"/>
        <w:spacing w:after="40"/>
      </w:pPr>
      <w:r>
        <w:t>dodatni instalacioni radovi koji nisu bili vidljivi na početku</w:t>
      </w:r>
    </w:p>
    <w:p>
      <w:pPr>
        <w:pStyle w:val="ListBullet"/>
        <w:spacing w:after="40"/>
      </w:pPr>
      <w:r>
        <w:t>troškovi dostave, skladištenja ili zamjenske opreme</w:t>
      </w:r>
    </w:p>
    <w:p>
      <w:pPr>
        <w:pStyle w:val="ListBullet"/>
        <w:spacing w:after="40"/>
      </w:pPr>
      <w:r>
        <w:t>kašnjenje granta, kredita ili naplate od kupaca</w:t>
      </w:r>
    </w:p>
    <w:p>
      <w:pPr>
        <w:pStyle w:val="ListBullet"/>
        <w:spacing w:after="40"/>
      </w:pPr>
      <w:r>
        <w:t>kursne promjene kada se oprema nabavlja iz inostranstva</w:t>
      </w:r>
    </w:p>
    <w:p>
      <w:pPr>
        <w:pStyle w:val="Heading1"/>
      </w:pPr>
      <w:r>
        <w:t>9. Kontrolna lista prije usvajanja budžeta</w:t>
      </w:r>
    </w:p>
    <w:tbl>
      <w:tblPr>
        <w:tblW w:type="auto" w:w="0"/>
        <w:jc w:val="center"/>
        <w:tblLayout w:type="fixed"/>
        <w:tblLook w:firstColumn="1" w:firstRow="1" w:lastColumn="0" w:lastRow="0" w:noHBand="0" w:noVBand="1" w:val="04A0"/>
      </w:tblPr>
      <w:tblGrid>
        <w:gridCol w:w="3326"/>
        <w:gridCol w:w="3326"/>
        <w:gridCol w:w="3326"/>
      </w:tblGrid>
      <w:tr>
        <w:trPr>
          <w:tblHeader w:val="true"/>
        </w:trPr>
        <w:tc>
          <w:tcPr>
            <w:tcW w:type="dxa" w:w="6236"/>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6"/>
              </w:rPr>
              <w:t>Provjera</w:t>
            </w:r>
          </w:p>
        </w:tc>
        <w:tc>
          <w:tcPr>
            <w:tcW w:type="dxa" w:w="1134"/>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6"/>
              </w:rPr>
              <w:t>Da/Ne</w:t>
            </w:r>
          </w:p>
        </w:tc>
        <w:tc>
          <w:tcPr>
            <w:tcW w:type="dxa" w:w="2835"/>
            <w:shd w:fill="315B3A"/>
            <w:tcMar>
              <w:top w:w="90" w:type="dxa"/>
              <w:start w:w="90" w:type="dxa"/>
              <w:bottom w:w="90" w:type="dxa"/>
              <w:end w:w="90" w:type="dxa"/>
            </w:tcMar>
            <w:tcBorders>
              <w:top w:sz="4" w:val="single" w:color="FFFFFF"/>
              <w:left w:sz="4" w:val="single" w:color="FFFFFF"/>
              <w:bottom w:sz="4" w:val="single" w:color="FFFFFF"/>
              <w:right w:sz="4" w:val="single" w:color="FFFFFF"/>
            </w:tcBorders>
            <w:vAlign w:val="center"/>
          </w:tcPr>
          <w:p>
            <w:pPr>
              <w:jc w:val="center"/>
            </w:pPr>
            <w:r>
              <w:rPr>
                <w:b/>
                <w:color w:val="FFFFFF"/>
                <w:sz w:val="16"/>
              </w:rPr>
              <w:t>Napomena</w:t>
            </w:r>
          </w:p>
        </w:tc>
      </w:tr>
      <w:tr>
        <w:tc>
          <w:tcPr>
            <w:tcW w:type="dxa" w:w="6236"/>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Svaka stavka je povezana sa poslovnim ciljem ili kapacitetom.</w:t>
            </w:r>
          </w:p>
        </w:tc>
        <w:tc>
          <w:tcPr>
            <w:tcW w:type="dxa" w:w="113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Količine odgovaraju realnom planu proizvodnje i prodaje.</w:t>
            </w:r>
          </w:p>
        </w:tc>
        <w:tc>
          <w:tcPr>
            <w:tcW w:type="dxa" w:w="113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Cijene su provjerene i imaju datum ili izvor.</w:t>
            </w:r>
          </w:p>
        </w:tc>
        <w:tc>
          <w:tcPr>
            <w:tcW w:type="dxa" w:w="113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Uključeni su dostava, montaža, obuka i puštanje u rad gdje su potrebni.</w:t>
            </w:r>
          </w:p>
        </w:tc>
        <w:tc>
          <w:tcPr>
            <w:tcW w:type="dxa" w:w="113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Planirana su obrtna sredstva do prve stabilne naplate.</w:t>
            </w:r>
          </w:p>
        </w:tc>
        <w:tc>
          <w:tcPr>
            <w:tcW w:type="dxa" w:w="113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Izvori finansiranja pokrivaju cijeli budžet.</w:t>
            </w:r>
          </w:p>
        </w:tc>
        <w:tc>
          <w:tcPr>
            <w:tcW w:type="dxa" w:w="113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Raspored plaćanja ne stvara neprihvatljiv manjak novca.</w:t>
            </w:r>
          </w:p>
        </w:tc>
        <w:tc>
          <w:tcPr>
            <w:tcW w:type="dxa" w:w="113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Rezerva je obrazložena i proporcionalna riziku.</w:t>
            </w:r>
          </w:p>
        </w:tc>
        <w:tc>
          <w:tcPr>
            <w:tcW w:type="dxa" w:w="1134"/>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shd w:fill="F5F6F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r>
        <w:tc>
          <w:tcPr>
            <w:tcW w:type="dxa" w:w="6236"/>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t>Aktuelni uslovi javnog poziva ili finansijera su provjereni.</w:t>
            </w:r>
          </w:p>
        </w:tc>
        <w:tc>
          <w:tcPr>
            <w:tcW w:type="dxa" w:w="1134"/>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c>
          <w:tcPr>
            <w:tcW w:type="dxa" w:w="2835"/>
            <w:tcMar>
              <w:top w:w="80" w:type="dxa"/>
              <w:start w:w="90" w:type="dxa"/>
              <w:bottom w:w="80" w:type="dxa"/>
              <w:end w:w="90" w:type="dxa"/>
            </w:tcMar>
            <w:tcBorders>
              <w:top w:sz="4" w:val="single" w:color="C9D3CA"/>
              <w:left w:sz="4" w:val="single" w:color="C9D3CA"/>
              <w:bottom w:sz="4" w:val="single" w:color="C9D3CA"/>
              <w:right w:sz="4" w:val="single" w:color="C9D3CA"/>
            </w:tcBorders>
            <w:vAlign w:val="center"/>
          </w:tcPr>
          <w:p>
            <w:pPr>
              <w:spacing w:after="0"/>
            </w:pPr>
            <w:r>
              <w:rPr>
                <w:color w:val="20362A"/>
                <w:sz w:val="16"/>
              </w:rPr>
            </w:r>
          </w:p>
        </w:tc>
      </w:tr>
    </w:tbl>
    <w:p>
      <w:pPr>
        <w:spacing w:after="0"/>
      </w:pPr>
    </w:p>
    <w:sectPr w:rsidR="00FC693F" w:rsidRPr="0006063C" w:rsidSect="00034616">
      <w:headerReference w:type="default" r:id="rId9"/>
      <w:footerReference w:type="default" r:id="rId10"/>
      <w:pgSz w:w="11906" w:h="16838"/>
      <w:pgMar w:top="964" w:right="964" w:bottom="907" w:left="964"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354" w:val="left"/>
      </w:tabs>
      <w:jc w:val="right"/>
    </w:pPr>
    <w:r>
      <w:rPr>
        <w:rFonts w:ascii="Aptos" w:hAnsi="Aptos"/>
        <w:color w:val="5E6761"/>
        <w:sz w:val="16"/>
      </w:rPr>
      <w:t>Vodič za pripremu investicionog budžeta</w:t>
    </w:r>
    <w:r>
      <w:tab/>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ptos" w:hAnsi="Aptos"/>
        <w:b/>
        <w:color w:val="315B3A"/>
        <w:sz w:val="16"/>
      </w:rPr>
      <w:t>AGROBIZNIS AKADEMIJA  |  MOJ BIZNIS NA SELU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color w:val="20362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Aptos Display" w:hAnsi="Aptos Display"/>
      <w:b/>
      <w:bCs/>
      <w:color w:val="315B3A"/>
      <w:sz w:val="36"/>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Aptos" w:hAnsi="Aptos"/>
      <w:b/>
      <w:bCs/>
      <w:color w:val="20362A"/>
      <w:sz w:val="27"/>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ascii="Aptos" w:hAnsi="Aptos"/>
      <w:b/>
      <w:bCs/>
      <w:color w:val="315B3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Aptos Display" w:hAnsi="Aptos Display"/>
      <w:b/>
      <w:color w:val="20362A"/>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uralisNote">
    <w:name w:val="Ruralis Note"/>
    <w:pPr>
      <w:spacing w:after="120"/>
    </w:pPr>
    <w:rPr>
      <w:rFonts w:ascii="Aptos" w:hAnsi="Aptos"/>
      <w:i/>
      <w:color w:val="5E6761"/>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